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830" w:rsidRPr="00081830" w:rsidRDefault="00081830" w:rsidP="00081830">
      <w:pPr>
        <w:widowControl/>
        <w:jc w:val="center"/>
        <w:rPr>
          <w:rFonts w:ascii="微软雅黑" w:eastAsia="微软雅黑" w:hAnsi="微软雅黑" w:cs="宋体"/>
          <w:color w:val="000000"/>
          <w:kern w:val="0"/>
          <w:sz w:val="38"/>
          <w:szCs w:val="38"/>
        </w:rPr>
      </w:pPr>
      <w:r w:rsidRPr="00081830">
        <w:rPr>
          <w:rFonts w:ascii="微软雅黑" w:eastAsia="微软雅黑" w:hAnsi="微软雅黑" w:cs="宋体" w:hint="eastAsia"/>
          <w:color w:val="000000"/>
          <w:kern w:val="0"/>
          <w:sz w:val="38"/>
          <w:szCs w:val="38"/>
        </w:rPr>
        <w:t>省水利厅 省财政厅 关于组织申报2018 年省水利科技项目的通知</w:t>
      </w:r>
    </w:p>
    <w:p w:rsidR="00081830" w:rsidRPr="00081830" w:rsidRDefault="00081830" w:rsidP="00081830">
      <w:pPr>
        <w:widowControl/>
        <w:spacing w:line="450" w:lineRule="atLeast"/>
        <w:jc w:val="left"/>
        <w:rPr>
          <w:rFonts w:ascii="微软雅黑" w:eastAsia="微软雅黑" w:hAnsi="微软雅黑" w:cs="宋体"/>
          <w:color w:val="333333"/>
          <w:kern w:val="0"/>
          <w:sz w:val="23"/>
          <w:szCs w:val="23"/>
        </w:rPr>
      </w:pPr>
      <w:bookmarkStart w:id="0" w:name="_GoBack"/>
      <w:bookmarkEnd w:id="0"/>
      <w:r w:rsidRPr="00081830">
        <w:rPr>
          <w:rFonts w:ascii="微软雅黑" w:eastAsia="微软雅黑" w:hAnsi="微软雅黑" w:cs="宋体" w:hint="eastAsia"/>
          <w:color w:val="333333"/>
          <w:kern w:val="0"/>
          <w:sz w:val="23"/>
          <w:szCs w:val="23"/>
        </w:rPr>
        <w:t>各设区市、县（市、区）水利（务）局、财政局，各有关单位：</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为全面贯彻党的十九大会议精神，以“节水优先、空间均衡、系统治理、两手发力”的新时期治水方针为指导，为生态河湖行动提供更好的科技支撑，根据《江苏省水利科技项目管理办法》有关要求，现就2018年省水利科技项目申报事项通知如下。</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黑体" w:eastAsia="黑体" w:hAnsi="黑体" w:cs="宋体" w:hint="eastAsia"/>
          <w:b/>
          <w:bCs/>
          <w:color w:val="333333"/>
          <w:kern w:val="0"/>
          <w:sz w:val="27"/>
        </w:rPr>
        <w:t>一、支持范围和重点方向</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楷体" w:eastAsia="楷体" w:hAnsi="楷体" w:cs="宋体" w:hint="eastAsia"/>
          <w:b/>
          <w:bCs/>
          <w:color w:val="333333"/>
          <w:kern w:val="0"/>
          <w:sz w:val="23"/>
        </w:rPr>
        <w:t>（一）重大技术攻关研究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支持范围：围绕生态河湖行动，针对水利现代化建设的关键技术和制约水利发展的短板和薄弱环节，开展重大水利技术攻关。</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重点方向： </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1．基于生态管理的全要素监测和全物质通量的河流系统研究。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2．基于生态评价的河湖健康评价体系研究。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3．生态需水计算方法及重点河湖生态水位（流量）研究。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楷体" w:eastAsia="楷体" w:hAnsi="楷体" w:cs="宋体" w:hint="eastAsia"/>
          <w:b/>
          <w:bCs/>
          <w:color w:val="333333"/>
          <w:kern w:val="0"/>
          <w:sz w:val="23"/>
        </w:rPr>
        <w:t>（二）先进实用技术研究与应用推广</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支持范围：在规划与建设、防汛减灾与工程管理、水资源与水环境、农村水利与水土保持、信息化与物联网等方面开展先进技术研究、引进吸收、科技成果转化应用、先进实用技术推广、基础能力建设等。</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重点方向：</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1．规划与建设领域，重点开展入海水道二期工程等重点工程建设关键技术、信息化施工控制技术、数字化施工技术研究与应用。</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lastRenderedPageBreak/>
        <w:t>2．防汛减灾与工程管理领域，重点开展城市洪涝灾害防御技术研究，江海堤岸抢险新技术研究，区域洪水实时监控、预报和调度系统一体化研究。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3．水资源与水环境领域，重点开展典型湖泊清淤疏浚效果及相关技术研究、全省水功能区风险识别与应对措施研究、城市地表集中式水源地水污染风险评价与防控措施研究、重大引调水工程水源地水权交易和生态补偿机制研究、河湖水系连通技术问题研究、生态河湖恢复和保护协同管控关键技术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4．农村水利与水土保持领域，重点开展农村水利中长期规划研究、高效节水灌溉技术研究与推广、面向农业机械化的江苏高标准农田水利田间工程建设模式研究应用，水土保持天地一体化监管技术研究、生态小流域建管标准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5．信息化与物联网领域，重点开展河湖智能化管理关键技术研究、信息资源整合共享技术推广应用及标准研究，基于大数据的精细化水文预报、城市防汛与水环境调度技术的应用研究。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楷体" w:eastAsia="楷体" w:hAnsi="楷体" w:cs="宋体" w:hint="eastAsia"/>
          <w:b/>
          <w:bCs/>
          <w:color w:val="333333"/>
          <w:kern w:val="0"/>
          <w:sz w:val="23"/>
        </w:rPr>
        <w:t>（三）水利科技推广示范基地（项目）</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重点方向：生态河湖恢复和保护、高效节水灌溉模式、水利大数据应用等方面的技术应用与推广示范基地（项目）。</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（四）软科学研究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支持范围和重点方向：开展深化水利改革有关课题研究，重点开展河湖流域化管理等涉及水利行业发展的政策措施、发展战略的制度创新研究，以及技术评价、水利标准等方面的研究。</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黑体" w:eastAsia="黑体" w:hAnsi="黑体" w:cs="宋体" w:hint="eastAsia"/>
          <w:b/>
          <w:bCs/>
          <w:color w:val="333333"/>
          <w:kern w:val="0"/>
          <w:sz w:val="27"/>
        </w:rPr>
        <w:t>二、项目资助标准和实施年限</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（一）重大技术攻关项目省级科技经费资助额度不高于200万元/项，实施年限原则上不超过3年。</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lastRenderedPageBreak/>
        <w:t>（二）先进实用技术研究与应用推广项目省级科技经费资助额度不高于80万元/项，实施年限原则上不超过2年。</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（三）水利科技推广示范基地（项目）省级科技经费资助额度不高于50万元（40万元）/基地（项目），实施年限不超过2年。</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（四）软科学研究省级科技经费资助额度不高于10万元/项，实施年限不超过1年。</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黑体" w:eastAsia="黑体" w:hAnsi="黑体" w:cs="宋体" w:hint="eastAsia"/>
          <w:b/>
          <w:bCs/>
          <w:color w:val="333333"/>
          <w:kern w:val="0"/>
          <w:sz w:val="27"/>
        </w:rPr>
        <w:t>三、项目申报要求</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楷体" w:eastAsia="楷体" w:hAnsi="楷体" w:cs="宋体" w:hint="eastAsia"/>
          <w:b/>
          <w:bCs/>
          <w:color w:val="333333"/>
          <w:kern w:val="0"/>
          <w:sz w:val="23"/>
        </w:rPr>
        <w:t>（一）选题要求</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1．紧扣全省水利科技项目支持范围和重点方向，在充分论证项目必要性和可行性的基础上申报。一般性工作调研不得申报。</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2．所申报项目要有扎实的前期调研和研究准备工作，或已开展预研究，确定的研究内容和目标要有充分的科学依据，要明确定性和定量考核指标。</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3．重大技术攻关项目需突出对全省水利发展重大科学技术问题、水利工程关键技术问题、水利工作的共性问题进行研究攻关。</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4．已在其他科技计划中立项的，原则上不受理。</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楷体" w:eastAsia="楷体" w:hAnsi="楷体" w:cs="宋体" w:hint="eastAsia"/>
          <w:b/>
          <w:bCs/>
          <w:color w:val="333333"/>
          <w:kern w:val="0"/>
          <w:sz w:val="23"/>
        </w:rPr>
        <w:t>（二）申报单位及负责人</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1．重大技术攻关与重点领域研究项目，申报单位主要为有较强科研能力的省级水利事业单位。先进实用技术研究与应用推广、水利科技推广示范基地（项目）及软科学研究项目，申报单位主要为全省各级水利部门。各类项目鼓励与在苏高校、科研单位、企业联合申报，并优先支持。对先进实用技术研究应用推广项目，鼓励以有实力的企业为主申报。</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2．各市、县水利（务）局会同同级财政局负责本地区申报项目的审核、推荐工作。各县（市）水利（务）局于2018年1月15日前报所属省辖市水利（务）局</w:t>
      </w:r>
      <w:r w:rsidRPr="00081830">
        <w:rPr>
          <w:rFonts w:ascii="微软雅黑" w:eastAsia="微软雅黑" w:hAnsi="微软雅黑" w:cs="宋体" w:hint="eastAsia"/>
          <w:color w:val="333333"/>
          <w:kern w:val="0"/>
          <w:sz w:val="23"/>
          <w:szCs w:val="23"/>
        </w:rPr>
        <w:lastRenderedPageBreak/>
        <w:t>审核、汇总，各省辖市审核后于2018年1月20日前统一报省水利厅、财政厅；省属水利单位负责本单位申报项目的审核、推荐工作，于2018年1月20日前报省水利厅、财政厅。</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3．项目申报单位必须具备法人资格，有保障科技项目正常开展的工作条件和经费管理能力，科技人员结构合理，有专项水利科技经费的地方项目，在同等条件下优先安排。</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4．项目负责人是项目的实际主持人，必须具有完成项目任务的相应能力，应保证足够时间投入课题工作，原则上同期主持水利科技项目不得超过2项。</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5．有到期无故拖延、未按合同计划实施等项目的单位和负责人不得申报。对于合同执行不力且无整改措施的项目承担单位及项目负责人在三年内不得申报省水利科技项目。</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楷体" w:eastAsia="楷体" w:hAnsi="楷体" w:cs="宋体" w:hint="eastAsia"/>
          <w:b/>
          <w:bCs/>
          <w:color w:val="333333"/>
          <w:kern w:val="0"/>
          <w:sz w:val="23"/>
        </w:rPr>
        <w:t>（三）申报方式和时间</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1．申报方式：项目申报采取网络方式，归口管理单位和项目申报单位通过江苏省水利科技信息管理系统（</w:t>
      </w:r>
      <w:hyperlink r:id="rId6" w:history="1">
        <w:r w:rsidRPr="00081830">
          <w:rPr>
            <w:rFonts w:ascii="微软雅黑" w:eastAsia="微软雅黑" w:hAnsi="微软雅黑" w:cs="宋体" w:hint="eastAsia"/>
            <w:color w:val="0000FF"/>
            <w:kern w:val="0"/>
            <w:sz w:val="23"/>
            <w:u w:val="single"/>
          </w:rPr>
          <w:t>http://222.191.243.218:9111/jsslkj/index</w:t>
        </w:r>
      </w:hyperlink>
      <w:r w:rsidRPr="00081830">
        <w:rPr>
          <w:rFonts w:ascii="微软雅黑" w:eastAsia="微软雅黑" w:hAnsi="微软雅黑" w:cs="宋体" w:hint="eastAsia"/>
          <w:color w:val="333333"/>
          <w:kern w:val="0"/>
          <w:sz w:val="23"/>
          <w:szCs w:val="23"/>
        </w:rPr>
        <w:t>，初始密码：666666）进行申报、审核。其他渠道不予受理。</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2．网络申报的同时，需报送纸质申报材料，包括申报文件、省水利科技项目申报书（一式3份）和申报汇总表，报送省水利厅、财政厅。新申报示范基地（项目）除上述材料外，还需提交示范基地建设可行性研究报告、示范基地建设总体规划。</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3．申报时间。受理截止时间为2018年1月20日，逾期不予受理。</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4．申报书和汇总表的电子格式可在江苏省水利厅网站（http://jswater.jiangsu.gov.cn/）通知公示中下载。</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lastRenderedPageBreak/>
        <w:t>联系人：</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省水利厅科技处  朱敏  电话：025-86338039  地址：南京市上海路5号  邮编：210029</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省财政厅农业处  秦晗  电话：025-83633154  地址：南京市北京西路63号  邮编：210024</w:t>
      </w:r>
    </w:p>
    <w:p w:rsidR="00081830" w:rsidRPr="00081830" w:rsidRDefault="00081830" w:rsidP="00081830">
      <w:pPr>
        <w:widowControl/>
        <w:spacing w:line="450" w:lineRule="atLeast"/>
        <w:ind w:firstLine="480"/>
        <w:jc w:val="lef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申报系统联系人：翟羽东   电话：13305162250</w:t>
      </w:r>
    </w:p>
    <w:p w:rsidR="00081830" w:rsidRPr="00081830" w:rsidRDefault="00081830" w:rsidP="00081830">
      <w:pPr>
        <w:widowControl/>
        <w:spacing w:line="450" w:lineRule="atLeast"/>
        <w:ind w:firstLine="480"/>
        <w:jc w:val="righ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江苏省水利厅          江苏省财政厅       </w:t>
      </w:r>
    </w:p>
    <w:p w:rsidR="00081830" w:rsidRPr="00081830" w:rsidRDefault="00081830" w:rsidP="00081830">
      <w:pPr>
        <w:widowControl/>
        <w:spacing w:line="450" w:lineRule="atLeast"/>
        <w:ind w:firstLine="480"/>
        <w:jc w:val="right"/>
        <w:rPr>
          <w:rFonts w:ascii="微软雅黑" w:eastAsia="微软雅黑" w:hAnsi="微软雅黑" w:cs="宋体"/>
          <w:color w:val="333333"/>
          <w:kern w:val="0"/>
          <w:sz w:val="23"/>
          <w:szCs w:val="23"/>
        </w:rPr>
      </w:pPr>
      <w:r w:rsidRPr="00081830">
        <w:rPr>
          <w:rFonts w:ascii="微软雅黑" w:eastAsia="微软雅黑" w:hAnsi="微软雅黑" w:cs="宋体" w:hint="eastAsia"/>
          <w:color w:val="333333"/>
          <w:kern w:val="0"/>
          <w:sz w:val="23"/>
          <w:szCs w:val="23"/>
        </w:rPr>
        <w:t>2017年12月20日                 </w:t>
      </w:r>
    </w:p>
    <w:p w:rsidR="00F71A96" w:rsidRDefault="00F71A96"/>
    <w:sectPr w:rsidR="00F71A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43F" w:rsidRDefault="00DF743F" w:rsidP="00081830">
      <w:r>
        <w:separator/>
      </w:r>
    </w:p>
  </w:endnote>
  <w:endnote w:type="continuationSeparator" w:id="0">
    <w:p w:rsidR="00DF743F" w:rsidRDefault="00DF743F" w:rsidP="0008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43F" w:rsidRDefault="00DF743F" w:rsidP="00081830">
      <w:r>
        <w:separator/>
      </w:r>
    </w:p>
  </w:footnote>
  <w:footnote w:type="continuationSeparator" w:id="0">
    <w:p w:rsidR="00DF743F" w:rsidRDefault="00DF743F" w:rsidP="00081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1830"/>
    <w:rsid w:val="00081830"/>
    <w:rsid w:val="00146BF4"/>
    <w:rsid w:val="00DF743F"/>
    <w:rsid w:val="00F7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D5009-DCD4-4C92-A67F-55B6E536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18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81830"/>
    <w:rPr>
      <w:sz w:val="18"/>
      <w:szCs w:val="18"/>
    </w:rPr>
  </w:style>
  <w:style w:type="paragraph" w:styleId="a5">
    <w:name w:val="footer"/>
    <w:basedOn w:val="a"/>
    <w:link w:val="a6"/>
    <w:uiPriority w:val="99"/>
    <w:semiHidden/>
    <w:unhideWhenUsed/>
    <w:rsid w:val="0008183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81830"/>
    <w:rPr>
      <w:sz w:val="18"/>
      <w:szCs w:val="18"/>
    </w:rPr>
  </w:style>
  <w:style w:type="character" w:customStyle="1" w:styleId="bt-left">
    <w:name w:val="bt-left"/>
    <w:basedOn w:val="a0"/>
    <w:rsid w:val="00081830"/>
  </w:style>
  <w:style w:type="character" w:customStyle="1" w:styleId="bt-right">
    <w:name w:val="bt-right"/>
    <w:basedOn w:val="a0"/>
    <w:rsid w:val="00081830"/>
  </w:style>
  <w:style w:type="character" w:styleId="a7">
    <w:name w:val="Hyperlink"/>
    <w:basedOn w:val="a0"/>
    <w:uiPriority w:val="99"/>
    <w:semiHidden/>
    <w:unhideWhenUsed/>
    <w:rsid w:val="00081830"/>
    <w:rPr>
      <w:color w:val="0000FF"/>
      <w:u w:val="single"/>
    </w:rPr>
  </w:style>
  <w:style w:type="paragraph" w:styleId="a8">
    <w:name w:val="Normal (Web)"/>
    <w:basedOn w:val="a"/>
    <w:uiPriority w:val="99"/>
    <w:semiHidden/>
    <w:unhideWhenUsed/>
    <w:rsid w:val="0008183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081830"/>
    <w:rPr>
      <w:b/>
      <w:bCs/>
    </w:rPr>
  </w:style>
  <w:style w:type="paragraph" w:styleId="aa">
    <w:name w:val="Balloon Text"/>
    <w:basedOn w:val="a"/>
    <w:link w:val="ab"/>
    <w:uiPriority w:val="99"/>
    <w:semiHidden/>
    <w:unhideWhenUsed/>
    <w:rsid w:val="00081830"/>
    <w:rPr>
      <w:sz w:val="18"/>
      <w:szCs w:val="18"/>
    </w:rPr>
  </w:style>
  <w:style w:type="character" w:customStyle="1" w:styleId="ab">
    <w:name w:val="批注框文本 字符"/>
    <w:basedOn w:val="a0"/>
    <w:link w:val="aa"/>
    <w:uiPriority w:val="99"/>
    <w:semiHidden/>
    <w:rsid w:val="00081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630051">
      <w:bodyDiv w:val="1"/>
      <w:marLeft w:val="0"/>
      <w:marRight w:val="0"/>
      <w:marTop w:val="0"/>
      <w:marBottom w:val="0"/>
      <w:divBdr>
        <w:top w:val="none" w:sz="0" w:space="0" w:color="auto"/>
        <w:left w:val="none" w:sz="0" w:space="0" w:color="auto"/>
        <w:bottom w:val="none" w:sz="0" w:space="0" w:color="auto"/>
        <w:right w:val="none" w:sz="0" w:space="0" w:color="auto"/>
      </w:divBdr>
      <w:divsChild>
        <w:div w:id="1889880126">
          <w:marLeft w:val="0"/>
          <w:marRight w:val="0"/>
          <w:marTop w:val="0"/>
          <w:marBottom w:val="0"/>
          <w:divBdr>
            <w:top w:val="none" w:sz="0" w:space="0" w:color="auto"/>
            <w:left w:val="none" w:sz="0" w:space="0" w:color="auto"/>
            <w:bottom w:val="none" w:sz="0" w:space="0" w:color="auto"/>
            <w:right w:val="none" w:sz="0" w:space="0" w:color="auto"/>
          </w:divBdr>
          <w:divsChild>
            <w:div w:id="1256402558">
              <w:marLeft w:val="2325"/>
              <w:marRight w:val="0"/>
              <w:marTop w:val="0"/>
              <w:marBottom w:val="0"/>
              <w:divBdr>
                <w:top w:val="none" w:sz="0" w:space="0" w:color="auto"/>
                <w:left w:val="none" w:sz="0" w:space="0" w:color="auto"/>
                <w:bottom w:val="none" w:sz="0" w:space="0" w:color="auto"/>
                <w:right w:val="none" w:sz="0" w:space="0" w:color="auto"/>
              </w:divBdr>
            </w:div>
            <w:div w:id="1081214008">
              <w:marLeft w:val="0"/>
              <w:marRight w:val="0"/>
              <w:marTop w:val="0"/>
              <w:marBottom w:val="0"/>
              <w:divBdr>
                <w:top w:val="none" w:sz="0" w:space="0" w:color="auto"/>
                <w:left w:val="none" w:sz="0" w:space="0" w:color="auto"/>
                <w:bottom w:val="none" w:sz="0" w:space="0" w:color="auto"/>
                <w:right w:val="none" w:sz="0" w:space="0" w:color="auto"/>
              </w:divBdr>
            </w:div>
          </w:divsChild>
        </w:div>
        <w:div w:id="34868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22.191.243.218:9111/jsslkj/inde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392</Words>
  <Characters>2236</Characters>
  <Application>Microsoft Office Word</Application>
  <DocSecurity>0</DocSecurity>
  <Lines>18</Lines>
  <Paragraphs>5</Paragraphs>
  <ScaleCrop>false</ScaleCrop>
  <Company>Lenovo</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GP</cp:lastModifiedBy>
  <cp:revision>3</cp:revision>
  <dcterms:created xsi:type="dcterms:W3CDTF">2018-01-08T00:05:00Z</dcterms:created>
  <dcterms:modified xsi:type="dcterms:W3CDTF">2018-01-08T01:25:00Z</dcterms:modified>
</cp:coreProperties>
</file>